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6B0E8CB6" w:rsidR="00AF2CB9" w:rsidRPr="00BF6DC2" w:rsidRDefault="00F050E9" w:rsidP="00880A34">
      <w:pPr>
        <w:spacing w:line="288" w:lineRule="auto"/>
        <w:outlineLvl w:val="0"/>
        <w:rPr>
          <w:rFonts w:ascii="Helvetica" w:hAnsi="Helvetica"/>
          <w:b/>
          <w:lang w:val="de-CH"/>
        </w:rPr>
      </w:pPr>
      <w:r>
        <w:rPr>
          <w:rFonts w:ascii="Helvetica" w:hAnsi="Helvetica"/>
          <w:b/>
          <w:lang w:val="de-CH"/>
        </w:rPr>
        <w:t>MEDIEN</w:t>
      </w:r>
      <w:r w:rsidR="00037D09" w:rsidRPr="00BF6DC2">
        <w:rPr>
          <w:rFonts w:ascii="Helvetica" w:hAnsi="Helvetica"/>
          <w:b/>
          <w:lang w:val="de-CH"/>
        </w:rPr>
        <w:t>INFORMATION</w:t>
      </w:r>
    </w:p>
    <w:p w14:paraId="46A3CBDB" w14:textId="77777777" w:rsidR="00D46370" w:rsidRPr="00BF6DC2" w:rsidRDefault="00D46370" w:rsidP="00AF2CB9">
      <w:pPr>
        <w:spacing w:line="288" w:lineRule="auto"/>
        <w:rPr>
          <w:rFonts w:ascii="Helvetica" w:hAnsi="Helvetica"/>
          <w:b/>
          <w:lang w:val="de-CH"/>
        </w:rPr>
      </w:pPr>
    </w:p>
    <w:p w14:paraId="14D0714B" w14:textId="48907B60" w:rsidR="00AF2CB9" w:rsidRPr="00BF6DC2" w:rsidRDefault="00BF6DC2" w:rsidP="00AF2CB9">
      <w:pPr>
        <w:spacing w:line="288" w:lineRule="auto"/>
        <w:rPr>
          <w:rFonts w:ascii="Helvetica" w:hAnsi="Helvetica"/>
          <w:sz w:val="20"/>
          <w:szCs w:val="20"/>
          <w:lang w:val="de-CH"/>
        </w:rPr>
      </w:pPr>
      <w:r w:rsidRPr="00BF6DC2">
        <w:rPr>
          <w:rFonts w:ascii="Helvetica" w:hAnsi="Helvetica"/>
          <w:sz w:val="20"/>
          <w:szCs w:val="20"/>
          <w:lang w:val="de-CH"/>
        </w:rPr>
        <w:t>Zürich</w:t>
      </w:r>
      <w:r w:rsidR="00037D09" w:rsidRPr="00BF6DC2">
        <w:rPr>
          <w:rFonts w:ascii="Helvetica" w:hAnsi="Helvetica"/>
          <w:sz w:val="20"/>
          <w:szCs w:val="20"/>
          <w:lang w:val="de-CH"/>
        </w:rPr>
        <w:t>,</w:t>
      </w:r>
      <w:r w:rsidR="00BF3442" w:rsidRPr="00BF6DC2">
        <w:rPr>
          <w:rFonts w:ascii="Helvetica" w:hAnsi="Helvetica"/>
          <w:sz w:val="20"/>
          <w:szCs w:val="20"/>
          <w:lang w:val="de-CH"/>
        </w:rPr>
        <w:t xml:space="preserve"> </w:t>
      </w:r>
      <w:r w:rsidR="00214724">
        <w:rPr>
          <w:rFonts w:ascii="Helvetica" w:hAnsi="Helvetica"/>
          <w:sz w:val="20"/>
          <w:szCs w:val="20"/>
          <w:lang w:val="de-CH"/>
        </w:rPr>
        <w:t>1</w:t>
      </w:r>
      <w:r w:rsidR="008D35F6">
        <w:rPr>
          <w:rFonts w:ascii="Helvetica" w:hAnsi="Helvetica"/>
          <w:sz w:val="20"/>
          <w:szCs w:val="20"/>
          <w:lang w:val="de-CH"/>
        </w:rPr>
        <w:t>0</w:t>
      </w:r>
      <w:r w:rsidR="00037D09" w:rsidRPr="00BF6DC2">
        <w:rPr>
          <w:rFonts w:ascii="Helvetica" w:hAnsi="Helvetica"/>
          <w:sz w:val="20"/>
          <w:szCs w:val="20"/>
          <w:lang w:val="de-CH"/>
        </w:rPr>
        <w:t>.</w:t>
      </w:r>
      <w:r w:rsidR="00F91F98" w:rsidRPr="00BF6DC2">
        <w:rPr>
          <w:rFonts w:ascii="Helvetica" w:hAnsi="Helvetica"/>
          <w:sz w:val="20"/>
          <w:szCs w:val="20"/>
          <w:lang w:val="de-CH"/>
        </w:rPr>
        <w:t xml:space="preserve"> </w:t>
      </w:r>
      <w:r w:rsidR="008D35F6">
        <w:rPr>
          <w:rFonts w:ascii="Helvetica" w:hAnsi="Helvetica"/>
          <w:sz w:val="20"/>
          <w:szCs w:val="20"/>
          <w:lang w:val="de-CH"/>
        </w:rPr>
        <w:t>Dezember</w:t>
      </w:r>
      <w:r w:rsidR="00F050E9">
        <w:rPr>
          <w:rFonts w:ascii="Helvetica" w:hAnsi="Helvetica"/>
          <w:sz w:val="20"/>
          <w:szCs w:val="20"/>
          <w:lang w:val="de-CH"/>
        </w:rPr>
        <w:t xml:space="preserve"> </w:t>
      </w:r>
      <w:r w:rsidR="00037D09" w:rsidRPr="00BF6DC2">
        <w:rPr>
          <w:rFonts w:ascii="Helvetica" w:hAnsi="Helvetica"/>
          <w:sz w:val="20"/>
          <w:szCs w:val="20"/>
          <w:lang w:val="de-CH"/>
        </w:rPr>
        <w:t>20</w:t>
      </w:r>
      <w:r w:rsidR="00A95484" w:rsidRPr="00BF6DC2">
        <w:rPr>
          <w:rFonts w:ascii="Helvetica" w:hAnsi="Helvetica"/>
          <w:sz w:val="20"/>
          <w:szCs w:val="20"/>
          <w:lang w:val="de-CH"/>
        </w:rPr>
        <w:t>2</w:t>
      </w:r>
      <w:r w:rsidR="00DD1C5C" w:rsidRPr="00BF6DC2">
        <w:rPr>
          <w:rFonts w:ascii="Helvetica" w:hAnsi="Helvetica"/>
          <w:sz w:val="20"/>
          <w:szCs w:val="20"/>
          <w:lang w:val="de-CH"/>
        </w:rPr>
        <w:t>1</w:t>
      </w:r>
    </w:p>
    <w:p w14:paraId="1B9710D5" w14:textId="77777777" w:rsidR="005003B0" w:rsidRPr="00BF6DC2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lang w:val="de-CH"/>
        </w:rPr>
      </w:pPr>
    </w:p>
    <w:p w14:paraId="3151C264" w14:textId="77777777" w:rsidR="008D35F6" w:rsidRDefault="008D35F6" w:rsidP="008D35F6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</w:rPr>
      </w:pPr>
      <w:r>
        <w:rPr>
          <w:rFonts w:ascii="Helvetica" w:hAnsi="Helvetica"/>
          <w:b/>
        </w:rPr>
        <w:t>Security-Ausblick 2022: Multifaktor-Authentifizierung im Aufwind</w:t>
      </w:r>
    </w:p>
    <w:p w14:paraId="289B41EF" w14:textId="77777777" w:rsidR="008D35F6" w:rsidRDefault="008D35F6" w:rsidP="008D35F6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In den Prognosen fürs kommende Jahr thematisiert </w:t>
      </w:r>
      <w:proofErr w:type="spellStart"/>
      <w:r>
        <w:rPr>
          <w:rFonts w:ascii="Helvetica" w:hAnsi="Helvetica"/>
          <w:b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sz w:val="20"/>
          <w:szCs w:val="20"/>
        </w:rPr>
        <w:t xml:space="preserve"> unter anderem die</w:t>
      </w:r>
      <w:r w:rsidRPr="001B2671">
        <w:rPr>
          <w:rFonts w:ascii="Helvetica" w:hAnsi="Helvetica"/>
          <w:b/>
          <w:sz w:val="20"/>
          <w:szCs w:val="20"/>
        </w:rPr>
        <w:t xml:space="preserve"> kennwortlose Windows-Authentifizierung</w:t>
      </w:r>
      <w:r>
        <w:rPr>
          <w:rFonts w:ascii="Helvetica" w:hAnsi="Helvetica"/>
          <w:b/>
          <w:sz w:val="20"/>
          <w:szCs w:val="20"/>
        </w:rPr>
        <w:t xml:space="preserve"> sowie Cyberversicherungen</w:t>
      </w:r>
    </w:p>
    <w:p w14:paraId="673D2BDD" w14:textId="77777777" w:rsidR="008D35F6" w:rsidRDefault="008D35F6" w:rsidP="008D35F6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30C8A669" w14:textId="77777777" w:rsidR="008D35F6" w:rsidRDefault="008D35F6" w:rsidP="008D35F6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Wie immer zum Ende des Jahres haben sich die IT-Security-Experten von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auch diesmal mit unterschiedlichen sicherheitsrelevanten Entwicklungen auseinandergesetzt, die das Potenzial haben, im kommenden Jahr für Wirbel zu sorgen. So gehen die Analysten des</w:t>
      </w:r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>Threat</w:t>
      </w:r>
      <w:proofErr w:type="spellEnd"/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Lab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beispielsweise davon aus</w:t>
      </w:r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dass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Cyberkriminelle schnell Wege finden werden, die von </w:t>
      </w:r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Microsoft Windows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ausgerufene, </w:t>
      </w:r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>kennwortlose Authentifizierung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auszuhebeln. Gleichzeitig wird prognostiziert, </w:t>
      </w:r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>dass die steigenden Kosten für Cyber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v</w:t>
      </w:r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>ersicherungen die Verbreitung einer starken Multi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f</w:t>
      </w:r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aktor-Authentifizierung (MFA)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beim Remote-Zugriff auf Unternehmensressourcen</w:t>
      </w:r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massiv </w:t>
      </w:r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vorantreiben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könnten. </w:t>
      </w:r>
    </w:p>
    <w:p w14:paraId="1CA4DDEB" w14:textId="77777777" w:rsidR="008D35F6" w:rsidRDefault="008D35F6" w:rsidP="008D35F6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7BE236B1" w14:textId="2F2576E6" w:rsidR="008D35F6" w:rsidRPr="002340CF" w:rsidRDefault="008D35F6" w:rsidP="008D35F6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Hinsichtlich der Wirksamkeit der von Microsoft initiierten digitalen Identitätsüberprüfung vertritt Corey Nachreiner, Chief Security Officer bei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Technologies, eine klare Meinung: „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Wir </w:t>
      </w:r>
      <w:proofErr w:type="spellStart"/>
      <w:r w:rsidRPr="002340CF">
        <w:rPr>
          <w:rFonts w:ascii="Helvetica" w:hAnsi="Helvetica"/>
          <w:color w:val="000000" w:themeColor="text1"/>
          <w:sz w:val="20"/>
          <w:szCs w:val="20"/>
        </w:rPr>
        <w:t>begrü</w:t>
      </w:r>
      <w:r w:rsidR="00046C01">
        <w:rPr>
          <w:rFonts w:ascii="Helvetica" w:hAnsi="Helvetica"/>
          <w:color w:val="000000" w:themeColor="text1"/>
          <w:sz w:val="20"/>
          <w:szCs w:val="20"/>
        </w:rPr>
        <w:t>ss</w:t>
      </w:r>
      <w:r w:rsidRPr="002340CF">
        <w:rPr>
          <w:rFonts w:ascii="Helvetica" w:hAnsi="Helvetica"/>
          <w:color w:val="000000" w:themeColor="text1"/>
          <w:sz w:val="20"/>
          <w:szCs w:val="20"/>
        </w:rPr>
        <w:t>en</w:t>
      </w:r>
      <w:proofErr w:type="spellEnd"/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 zwar die Tatsache, dass Windows </w:t>
      </w:r>
      <w:r>
        <w:rPr>
          <w:rFonts w:ascii="Helvetica" w:hAnsi="Helvetica"/>
          <w:color w:val="000000" w:themeColor="text1"/>
          <w:sz w:val="20"/>
          <w:szCs w:val="20"/>
        </w:rPr>
        <w:t>zur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 Validierung </w:t>
      </w:r>
      <w:r>
        <w:rPr>
          <w:rFonts w:ascii="Helvetica" w:hAnsi="Helvetica"/>
          <w:color w:val="000000" w:themeColor="text1"/>
          <w:sz w:val="20"/>
          <w:szCs w:val="20"/>
        </w:rPr>
        <w:t xml:space="preserve">nicht länger auf 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Passwörter </w:t>
      </w:r>
      <w:r>
        <w:rPr>
          <w:rFonts w:ascii="Helvetica" w:hAnsi="Helvetica"/>
          <w:color w:val="000000" w:themeColor="text1"/>
          <w:sz w:val="20"/>
          <w:szCs w:val="20"/>
        </w:rPr>
        <w:t>setzt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, sind aber auch der </w:t>
      </w:r>
      <w:r>
        <w:rPr>
          <w:rFonts w:ascii="Helvetica" w:hAnsi="Helvetica"/>
          <w:color w:val="000000" w:themeColor="text1"/>
          <w:sz w:val="20"/>
          <w:szCs w:val="20"/>
        </w:rPr>
        <w:t>Ansicht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, dass die </w:t>
      </w:r>
      <w:r>
        <w:rPr>
          <w:rFonts w:ascii="Helvetica" w:hAnsi="Helvetica"/>
          <w:color w:val="000000" w:themeColor="text1"/>
          <w:sz w:val="20"/>
          <w:szCs w:val="20"/>
        </w:rPr>
        <w:t>anhaltende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 Konzentration auf die Ein-Faktor-Authentifizierung für Windows-Anmeldungen lediglich die Fehler der Vergangenheit wiederholt</w:t>
      </w:r>
      <w:r>
        <w:rPr>
          <w:rFonts w:ascii="Helvetica" w:hAnsi="Helvetica"/>
          <w:color w:val="000000" w:themeColor="text1"/>
          <w:sz w:val="20"/>
          <w:szCs w:val="20"/>
        </w:rPr>
        <w:t xml:space="preserve">.“ Bei 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Windows 10 und 11 </w:t>
      </w:r>
      <w:r>
        <w:rPr>
          <w:rFonts w:ascii="Helvetica" w:hAnsi="Helvetica"/>
          <w:color w:val="000000" w:themeColor="text1"/>
          <w:sz w:val="20"/>
          <w:szCs w:val="20"/>
        </w:rPr>
        <w:t>ist mittlerweile eine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 komplett kennwortlose Authentifizierung mit Optionen wie Biometrie, Hardware-Token oder einer E-Mail mit einem Einmalkennwort (OTP)</w:t>
      </w:r>
      <w:r>
        <w:rPr>
          <w:rFonts w:ascii="Helvetica" w:hAnsi="Helvetica"/>
          <w:color w:val="000000" w:themeColor="text1"/>
          <w:sz w:val="20"/>
          <w:szCs w:val="20"/>
        </w:rPr>
        <w:t xml:space="preserve"> möglich – alles Faktoren, die in der Vergangenheit bereits erfolgreich kompromittiert wurden. Entsprechend fällt das Urteil Nachreiners aus: „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Microsoft </w:t>
      </w:r>
      <w:r>
        <w:rPr>
          <w:rFonts w:ascii="Helvetica" w:hAnsi="Helvetica"/>
          <w:color w:val="000000" w:themeColor="text1"/>
          <w:sz w:val="20"/>
          <w:szCs w:val="20"/>
        </w:rPr>
        <w:t xml:space="preserve">hat verpasst, 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das Problem der digitalen Identitätsüberprüfung </w:t>
      </w:r>
      <w:r>
        <w:rPr>
          <w:rFonts w:ascii="Helvetica" w:hAnsi="Helvetica"/>
          <w:color w:val="000000" w:themeColor="text1"/>
          <w:sz w:val="20"/>
          <w:szCs w:val="20"/>
        </w:rPr>
        <w:t xml:space="preserve">mit einer obligatorischen und nutzerfreundlichen Integration von Multifaktor-Authentifizierung 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wirklich </w:t>
      </w:r>
      <w:r>
        <w:rPr>
          <w:rFonts w:ascii="Helvetica" w:hAnsi="Helvetica"/>
          <w:color w:val="000000" w:themeColor="text1"/>
          <w:sz w:val="20"/>
          <w:szCs w:val="20"/>
        </w:rPr>
        <w:t xml:space="preserve">zu </w:t>
      </w:r>
      <w:r w:rsidRPr="002340CF">
        <w:rPr>
          <w:rFonts w:ascii="Helvetica" w:hAnsi="Helvetica"/>
          <w:color w:val="000000" w:themeColor="text1"/>
          <w:sz w:val="20"/>
          <w:szCs w:val="20"/>
        </w:rPr>
        <w:t>lösen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.“ Er rät Unternehmen grundsätzlich zur Kombination von mindestens 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zwei Authentifizierungsmethoden, </w:t>
      </w:r>
      <w:r>
        <w:rPr>
          <w:rFonts w:ascii="Helvetica" w:hAnsi="Helvetica"/>
          <w:color w:val="000000" w:themeColor="text1"/>
          <w:sz w:val="20"/>
          <w:szCs w:val="20"/>
        </w:rPr>
        <w:t>beispielsweise in Form von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 Biometrie oder Token </w:t>
      </w:r>
      <w:r>
        <w:rPr>
          <w:rFonts w:ascii="Helvetica" w:hAnsi="Helvetica"/>
          <w:color w:val="000000" w:themeColor="text1"/>
          <w:sz w:val="20"/>
          <w:szCs w:val="20"/>
        </w:rPr>
        <w:t xml:space="preserve">und 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Push-Freigabe auf dem Mobiltelefon, </w:t>
      </w:r>
      <w:r>
        <w:rPr>
          <w:rFonts w:ascii="Helvetica" w:hAnsi="Helvetica"/>
          <w:color w:val="000000" w:themeColor="text1"/>
          <w:sz w:val="20"/>
          <w:szCs w:val="20"/>
        </w:rPr>
        <w:t xml:space="preserve">wobei </w:t>
      </w:r>
      <w:r w:rsidRPr="002340CF">
        <w:rPr>
          <w:rFonts w:ascii="Helvetica" w:hAnsi="Helvetica"/>
          <w:color w:val="000000" w:themeColor="text1"/>
          <w:sz w:val="20"/>
          <w:szCs w:val="20"/>
        </w:rPr>
        <w:t>ein verschlüsselte</w:t>
      </w:r>
      <w:r>
        <w:rPr>
          <w:rFonts w:ascii="Helvetica" w:hAnsi="Helvetica"/>
          <w:color w:val="000000" w:themeColor="text1"/>
          <w:sz w:val="20"/>
          <w:szCs w:val="20"/>
        </w:rPr>
        <w:t>r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 Kanal </w:t>
      </w:r>
      <w:r>
        <w:rPr>
          <w:rFonts w:ascii="Helvetica" w:hAnsi="Helvetica"/>
          <w:color w:val="000000" w:themeColor="text1"/>
          <w:sz w:val="20"/>
          <w:szCs w:val="20"/>
        </w:rPr>
        <w:t>genutzt wird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30591897" w14:textId="77777777" w:rsidR="008D35F6" w:rsidRDefault="008D35F6" w:rsidP="008D35F6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65112F19" w14:textId="77777777" w:rsidR="008D35F6" w:rsidRPr="004119D7" w:rsidRDefault="008D35F6" w:rsidP="008D35F6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4119D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Versicherungsschutz nur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bei vorhandener</w:t>
      </w:r>
      <w:r w:rsidRPr="004119D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MFA-Lösung</w:t>
      </w:r>
    </w:p>
    <w:p w14:paraId="5F48AE8B" w14:textId="3F70374B" w:rsidR="008D35F6" w:rsidRDefault="008D35F6" w:rsidP="008D35F6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Die Versicherungsbranche könnte den Trend zur Multifaktor-Authentifizierung 2022 zusätzlich massiv befeuern.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Schlie</w:t>
      </w:r>
      <w:r w:rsidR="00046C01">
        <w:rPr>
          <w:rFonts w:ascii="Helvetica" w:hAnsi="Helvetica"/>
          <w:color w:val="000000" w:themeColor="text1"/>
          <w:sz w:val="20"/>
          <w:szCs w:val="20"/>
        </w:rPr>
        <w:t>ss</w:t>
      </w:r>
      <w:r>
        <w:rPr>
          <w:rFonts w:ascii="Helvetica" w:hAnsi="Helvetica"/>
          <w:color w:val="000000" w:themeColor="text1"/>
          <w:sz w:val="20"/>
          <w:szCs w:val="20"/>
        </w:rPr>
        <w:t>lich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sind 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>
        <w:rPr>
          <w:rFonts w:ascii="Helvetica" w:hAnsi="Helvetica"/>
          <w:color w:val="000000" w:themeColor="text1"/>
          <w:sz w:val="20"/>
          <w:szCs w:val="20"/>
        </w:rPr>
        <w:t>ausgezahlten Leistungen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zur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 Deckung von </w:t>
      </w:r>
      <w:r>
        <w:rPr>
          <w:rFonts w:ascii="Helvetica" w:hAnsi="Helvetica"/>
          <w:color w:val="000000" w:themeColor="text1"/>
          <w:sz w:val="20"/>
          <w:szCs w:val="20"/>
        </w:rPr>
        <w:t xml:space="preserve">Schäden, die durch </w:t>
      </w:r>
      <w:proofErr w:type="spellStart"/>
      <w:r w:rsidRPr="002340CF">
        <w:rPr>
          <w:rFonts w:ascii="Helvetica" w:hAnsi="Helvetica"/>
          <w:color w:val="000000" w:themeColor="text1"/>
          <w:sz w:val="20"/>
          <w:szCs w:val="20"/>
        </w:rPr>
        <w:t>Ransomware</w:t>
      </w:r>
      <w:proofErr w:type="spellEnd"/>
      <w:r w:rsidRPr="002340CF">
        <w:rPr>
          <w:rFonts w:ascii="Helvetica" w:hAnsi="Helvetica"/>
          <w:color w:val="000000" w:themeColor="text1"/>
          <w:sz w:val="20"/>
          <w:szCs w:val="20"/>
        </w:rPr>
        <w:t>-</w:t>
      </w:r>
      <w:r>
        <w:rPr>
          <w:rFonts w:ascii="Helvetica" w:hAnsi="Helvetica"/>
          <w:color w:val="000000" w:themeColor="text1"/>
          <w:sz w:val="20"/>
          <w:szCs w:val="20"/>
        </w:rPr>
        <w:t>Angriffe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entstehen, in jüngster Vergangenheit 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drastisch </w:t>
      </w:r>
      <w:r>
        <w:rPr>
          <w:rFonts w:ascii="Helvetica" w:hAnsi="Helvetica"/>
          <w:color w:val="000000" w:themeColor="text1"/>
          <w:sz w:val="20"/>
          <w:szCs w:val="20"/>
        </w:rPr>
        <w:t xml:space="preserve">in die Höhe geschnellt. In Folge erhöhen die Anbieter nicht nur die Prämien, 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sondern </w:t>
      </w:r>
      <w:r>
        <w:rPr>
          <w:rFonts w:ascii="Helvetica" w:hAnsi="Helvetica"/>
          <w:color w:val="000000" w:themeColor="text1"/>
          <w:sz w:val="20"/>
          <w:szCs w:val="20"/>
        </w:rPr>
        <w:t>nehmen ebenso die IT-Security-Vorkehrungen auf Unternehmensseite inzwischen gezielt unter die Lupe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, bevor sie Versicherungsschutz gewähren. </w:t>
      </w:r>
      <w:r>
        <w:rPr>
          <w:rFonts w:ascii="Helvetica" w:hAnsi="Helvetica"/>
          <w:color w:val="000000" w:themeColor="text1"/>
          <w:sz w:val="20"/>
          <w:szCs w:val="20"/>
        </w:rPr>
        <w:t xml:space="preserve">Organisationen, die 2022 nicht über 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die richtigen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Sicherheits</w:t>
      </w:r>
      <w:r w:rsidRPr="002340CF">
        <w:rPr>
          <w:rFonts w:ascii="Helvetica" w:hAnsi="Helvetica"/>
          <w:color w:val="000000" w:themeColor="text1"/>
          <w:sz w:val="20"/>
          <w:szCs w:val="20"/>
        </w:rPr>
        <w:t>ma</w:t>
      </w:r>
      <w:r w:rsidR="00046C01">
        <w:rPr>
          <w:rFonts w:ascii="Helvetica" w:hAnsi="Helvetica"/>
          <w:color w:val="000000" w:themeColor="text1"/>
          <w:sz w:val="20"/>
          <w:szCs w:val="20"/>
        </w:rPr>
        <w:t>ss</w:t>
      </w:r>
      <w:r w:rsidRPr="002340CF">
        <w:rPr>
          <w:rFonts w:ascii="Helvetica" w:hAnsi="Helvetica"/>
          <w:color w:val="000000" w:themeColor="text1"/>
          <w:sz w:val="20"/>
          <w:szCs w:val="20"/>
        </w:rPr>
        <w:t>nahmen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– </w:t>
      </w:r>
      <w:r w:rsidR="00046C01">
        <w:rPr>
          <w:rFonts w:ascii="Helvetica" w:hAnsi="Helvetica"/>
          <w:color w:val="000000" w:themeColor="text1"/>
          <w:sz w:val="20"/>
          <w:szCs w:val="20"/>
        </w:rPr>
        <w:t>inklusive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Multifaktor-Authentifizierung – verfügen, laufen laut Nachreiner also durchaus Gefahr, </w:t>
      </w:r>
      <w:r w:rsidRPr="002340CF">
        <w:rPr>
          <w:rFonts w:ascii="Helvetica" w:hAnsi="Helvetica"/>
          <w:color w:val="000000" w:themeColor="text1"/>
          <w:sz w:val="20"/>
          <w:szCs w:val="20"/>
        </w:rPr>
        <w:t>möglicherweise nicht die Cyberversicherung</w:t>
      </w:r>
      <w:r>
        <w:rPr>
          <w:rFonts w:ascii="Helvetica" w:hAnsi="Helvetica"/>
          <w:color w:val="000000" w:themeColor="text1"/>
          <w:sz w:val="20"/>
          <w:szCs w:val="20"/>
        </w:rPr>
        <w:t xml:space="preserve"> zu erhalten</w:t>
      </w: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, die </w:t>
      </w:r>
      <w:r>
        <w:rPr>
          <w:rFonts w:ascii="Helvetica" w:hAnsi="Helvetica"/>
          <w:color w:val="000000" w:themeColor="text1"/>
          <w:sz w:val="20"/>
          <w:szCs w:val="20"/>
        </w:rPr>
        <w:t xml:space="preserve">sie vielleicht gerne hätten – und schon gar nicht zum gewünschten Preis. </w:t>
      </w:r>
      <w:r w:rsidRPr="00102FEA">
        <w:rPr>
          <w:rFonts w:ascii="Helvetica" w:hAnsi="Helvetica"/>
          <w:color w:val="000000" w:themeColor="text1"/>
          <w:sz w:val="20"/>
          <w:szCs w:val="20"/>
        </w:rPr>
        <w:t xml:space="preserve">Einem Bericht von S&amp;P Global zufolge stieg </w:t>
      </w:r>
      <w:r w:rsidRPr="00102FEA">
        <w:rPr>
          <w:rFonts w:ascii="Helvetica" w:hAnsi="Helvetica"/>
          <w:color w:val="000000" w:themeColor="text1"/>
          <w:sz w:val="20"/>
          <w:szCs w:val="20"/>
        </w:rPr>
        <w:lastRenderedPageBreak/>
        <w:t>die Schaden</w:t>
      </w:r>
      <w:r>
        <w:rPr>
          <w:rFonts w:ascii="Helvetica" w:hAnsi="Helvetica"/>
          <w:color w:val="000000" w:themeColor="text1"/>
          <w:sz w:val="20"/>
          <w:szCs w:val="20"/>
        </w:rPr>
        <w:t>s</w:t>
      </w:r>
      <w:r w:rsidRPr="00102FEA">
        <w:rPr>
          <w:rFonts w:ascii="Helvetica" w:hAnsi="Helvetica"/>
          <w:color w:val="000000" w:themeColor="text1"/>
          <w:sz w:val="20"/>
          <w:szCs w:val="20"/>
        </w:rPr>
        <w:t>quote der Cyber</w:t>
      </w:r>
      <w:r>
        <w:rPr>
          <w:rFonts w:ascii="Helvetica" w:hAnsi="Helvetica"/>
          <w:color w:val="000000" w:themeColor="text1"/>
          <w:sz w:val="20"/>
          <w:szCs w:val="20"/>
        </w:rPr>
        <w:t>v</w:t>
      </w:r>
      <w:r w:rsidRPr="00102FEA">
        <w:rPr>
          <w:rFonts w:ascii="Helvetica" w:hAnsi="Helvetica"/>
          <w:color w:val="000000" w:themeColor="text1"/>
          <w:sz w:val="20"/>
          <w:szCs w:val="20"/>
        </w:rPr>
        <w:t>ersicherer im Jahr 2020 das dritte Jahr in Folge um 25 P</w:t>
      </w:r>
      <w:r>
        <w:rPr>
          <w:rFonts w:ascii="Helvetica" w:hAnsi="Helvetica"/>
          <w:color w:val="000000" w:themeColor="text1"/>
          <w:sz w:val="20"/>
          <w:szCs w:val="20"/>
        </w:rPr>
        <w:t>rozentp</w:t>
      </w:r>
      <w:r w:rsidRPr="00102FEA">
        <w:rPr>
          <w:rFonts w:ascii="Helvetica" w:hAnsi="Helvetica"/>
          <w:color w:val="000000" w:themeColor="text1"/>
          <w:sz w:val="20"/>
          <w:szCs w:val="20"/>
        </w:rPr>
        <w:t xml:space="preserve">unkte </w:t>
      </w:r>
      <w:r>
        <w:rPr>
          <w:rFonts w:ascii="Helvetica" w:hAnsi="Helvetica"/>
          <w:color w:val="000000" w:themeColor="text1"/>
          <w:sz w:val="20"/>
          <w:szCs w:val="20"/>
        </w:rPr>
        <w:t>auf insgesamt</w:t>
      </w:r>
      <w:r w:rsidRPr="00102FEA">
        <w:rPr>
          <w:rFonts w:ascii="Helvetica" w:hAnsi="Helvetica"/>
          <w:color w:val="000000" w:themeColor="text1"/>
          <w:sz w:val="20"/>
          <w:szCs w:val="20"/>
        </w:rPr>
        <w:t xml:space="preserve"> mehr als 72 </w:t>
      </w:r>
      <w:r>
        <w:rPr>
          <w:rFonts w:ascii="Helvetica" w:hAnsi="Helvetica"/>
          <w:color w:val="000000" w:themeColor="text1"/>
          <w:sz w:val="20"/>
          <w:szCs w:val="20"/>
        </w:rPr>
        <w:t>Prozent</w:t>
      </w:r>
      <w:r w:rsidRPr="00102FEA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>
        <w:rPr>
          <w:rFonts w:ascii="Helvetica" w:hAnsi="Helvetica"/>
          <w:color w:val="000000" w:themeColor="text1"/>
          <w:sz w:val="20"/>
          <w:szCs w:val="20"/>
        </w:rPr>
        <w:t>Dadurch erhöhten</w:t>
      </w:r>
      <w:r w:rsidRPr="00102FE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sich </w:t>
      </w:r>
      <w:r w:rsidRPr="00102FEA">
        <w:rPr>
          <w:rFonts w:ascii="Helvetica" w:hAnsi="Helvetica"/>
          <w:color w:val="000000" w:themeColor="text1"/>
          <w:sz w:val="20"/>
          <w:szCs w:val="20"/>
        </w:rPr>
        <w:t xml:space="preserve">die Prämien für eigenständige </w:t>
      </w:r>
      <w:r>
        <w:rPr>
          <w:rFonts w:ascii="Helvetica" w:hAnsi="Helvetica"/>
          <w:color w:val="000000" w:themeColor="text1"/>
          <w:sz w:val="20"/>
          <w:szCs w:val="20"/>
        </w:rPr>
        <w:t>Cyberversicherungen</w:t>
      </w:r>
      <w:r w:rsidRPr="00102FEA">
        <w:rPr>
          <w:rFonts w:ascii="Helvetica" w:hAnsi="Helvetica"/>
          <w:color w:val="000000" w:themeColor="text1"/>
          <w:sz w:val="20"/>
          <w:szCs w:val="20"/>
        </w:rPr>
        <w:t xml:space="preserve"> um 28,6 </w:t>
      </w:r>
      <w:r>
        <w:rPr>
          <w:rFonts w:ascii="Helvetica" w:hAnsi="Helvetica"/>
          <w:color w:val="000000" w:themeColor="text1"/>
          <w:sz w:val="20"/>
          <w:szCs w:val="20"/>
        </w:rPr>
        <w:t>Prozent</w:t>
      </w:r>
      <w:r w:rsidRPr="00102FE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und erreichten eine Gesamtsumme von </w:t>
      </w:r>
      <w:r w:rsidRPr="00102FEA">
        <w:rPr>
          <w:rFonts w:ascii="Helvetica" w:hAnsi="Helvetica"/>
          <w:color w:val="000000" w:themeColor="text1"/>
          <w:sz w:val="20"/>
          <w:szCs w:val="20"/>
        </w:rPr>
        <w:t>1,62 M</w:t>
      </w:r>
      <w:r>
        <w:rPr>
          <w:rFonts w:ascii="Helvetica" w:hAnsi="Helvetica"/>
          <w:color w:val="000000" w:themeColor="text1"/>
          <w:sz w:val="20"/>
          <w:szCs w:val="20"/>
        </w:rPr>
        <w:t>illiarden</w:t>
      </w:r>
      <w:r w:rsidRPr="00102FEA">
        <w:rPr>
          <w:rFonts w:ascii="Helvetica" w:hAnsi="Helvetica"/>
          <w:color w:val="000000" w:themeColor="text1"/>
          <w:sz w:val="20"/>
          <w:szCs w:val="20"/>
        </w:rPr>
        <w:t xml:space="preserve"> US</w:t>
      </w:r>
      <w:r>
        <w:rPr>
          <w:rFonts w:ascii="Helvetica" w:hAnsi="Helvetica"/>
          <w:color w:val="000000" w:themeColor="text1"/>
          <w:sz w:val="20"/>
          <w:szCs w:val="20"/>
        </w:rPr>
        <w:t>-</w:t>
      </w:r>
      <w:r w:rsidRPr="00102FEA">
        <w:rPr>
          <w:rFonts w:ascii="Helvetica" w:hAnsi="Helvetica"/>
          <w:color w:val="000000" w:themeColor="text1"/>
          <w:sz w:val="20"/>
          <w:szCs w:val="20"/>
        </w:rPr>
        <w:t>D</w:t>
      </w:r>
      <w:r>
        <w:rPr>
          <w:rFonts w:ascii="Helvetica" w:hAnsi="Helvetica"/>
          <w:color w:val="000000" w:themeColor="text1"/>
          <w:sz w:val="20"/>
          <w:szCs w:val="20"/>
        </w:rPr>
        <w:t>ollar</w:t>
      </w:r>
      <w:r w:rsidRPr="00102FEA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025CE9E2" w14:textId="77777777" w:rsidR="008D35F6" w:rsidRPr="002340CF" w:rsidRDefault="008D35F6" w:rsidP="008D35F6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41853F58" w14:textId="77F4CCF1" w:rsidR="008D35F6" w:rsidRPr="002340CF" w:rsidRDefault="008D35F6" w:rsidP="008D35F6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Weitere Informationen und die vollständigen Prognosen des </w:t>
      </w:r>
      <w:proofErr w:type="spellStart"/>
      <w:r w:rsidRPr="002340CF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2340CF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 Lab, </w:t>
      </w:r>
      <w:proofErr w:type="spellStart"/>
      <w:r w:rsidRPr="002340CF">
        <w:rPr>
          <w:rFonts w:ascii="Helvetica" w:hAnsi="Helvetica"/>
          <w:color w:val="000000" w:themeColor="text1"/>
          <w:sz w:val="20"/>
          <w:szCs w:val="20"/>
        </w:rPr>
        <w:t>einschlie</w:t>
      </w:r>
      <w:r w:rsidR="00046C01">
        <w:rPr>
          <w:rFonts w:ascii="Helvetica" w:hAnsi="Helvetica"/>
          <w:color w:val="000000" w:themeColor="text1"/>
          <w:sz w:val="20"/>
          <w:szCs w:val="20"/>
        </w:rPr>
        <w:t>ss</w:t>
      </w:r>
      <w:r w:rsidRPr="002340CF">
        <w:rPr>
          <w:rFonts w:ascii="Helvetica" w:hAnsi="Helvetica"/>
          <w:color w:val="000000" w:themeColor="text1"/>
          <w:sz w:val="20"/>
          <w:szCs w:val="20"/>
        </w:rPr>
        <w:t>lich</w:t>
      </w:r>
      <w:proofErr w:type="spellEnd"/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 Videos, </w:t>
      </w:r>
      <w:r>
        <w:rPr>
          <w:rFonts w:ascii="Helvetica" w:hAnsi="Helvetica"/>
          <w:color w:val="000000" w:themeColor="text1"/>
          <w:sz w:val="20"/>
          <w:szCs w:val="20"/>
        </w:rPr>
        <w:t xml:space="preserve">stehen online zur Verfügung: </w:t>
      </w:r>
      <w:hyperlink r:id="rId7" w:history="1">
        <w:r w:rsidRPr="00137B10">
          <w:rPr>
            <w:rStyle w:val="Hyperlink"/>
            <w:rFonts w:ascii="Helvetica" w:hAnsi="Helvetica"/>
            <w:sz w:val="20"/>
            <w:szCs w:val="20"/>
          </w:rPr>
          <w:t>https://www.watchguard.com/wgrd-resource-center/cyber-security-predictions</w:t>
        </w:r>
      </w:hyperlink>
    </w:p>
    <w:p w14:paraId="2FDBEE4F" w14:textId="77777777" w:rsidR="008D35F6" w:rsidRDefault="008D35F6" w:rsidP="008D35F6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2352274A" w14:textId="77777777" w:rsidR="008D35F6" w:rsidRPr="000E3C60" w:rsidRDefault="008D35F6" w:rsidP="008D35F6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0E3C60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8D35F6" w:rsidRPr="000E3C60" w14:paraId="119CEE54" w14:textId="77777777" w:rsidTr="007F7993">
        <w:trPr>
          <w:trHeight w:val="1985"/>
        </w:trPr>
        <w:tc>
          <w:tcPr>
            <w:tcW w:w="3686" w:type="dxa"/>
          </w:tcPr>
          <w:p w14:paraId="21BA0C83" w14:textId="77777777" w:rsidR="008D35F6" w:rsidRPr="000E3C60" w:rsidRDefault="008D35F6" w:rsidP="007F7993">
            <w:pPr>
              <w:pStyle w:val="Kopfzeile"/>
              <w:ind w:right="-141"/>
            </w:pPr>
            <w:r w:rsidRPr="000E3C60">
              <w:t xml:space="preserve">            </w:t>
            </w:r>
          </w:p>
          <w:p w14:paraId="797ED421" w14:textId="77777777" w:rsidR="008D35F6" w:rsidRPr="000E3C60" w:rsidRDefault="008D35F6" w:rsidP="007F7993">
            <w:pPr>
              <w:pStyle w:val="Kopfzeile"/>
              <w:ind w:right="-141"/>
            </w:pPr>
            <w:r w:rsidRPr="000E3C60">
              <w:rPr>
                <w:noProof/>
              </w:rPr>
              <w:drawing>
                <wp:inline distT="0" distB="0" distL="0" distR="0" wp14:anchorId="38123E75" wp14:editId="2EF2E8B8">
                  <wp:extent cx="837505" cy="1045028"/>
                  <wp:effectExtent l="0" t="0" r="127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35F6" w:rsidRPr="00FD6A79" w14:paraId="74875791" w14:textId="77777777" w:rsidTr="007F7993">
        <w:trPr>
          <w:trHeight w:val="544"/>
        </w:trPr>
        <w:tc>
          <w:tcPr>
            <w:tcW w:w="3686" w:type="dxa"/>
          </w:tcPr>
          <w:p w14:paraId="4C6FB534" w14:textId="77777777" w:rsidR="008D35F6" w:rsidRPr="000E3C60" w:rsidRDefault="008D35F6" w:rsidP="007F7993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 xml:space="preserve">, Chief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Security</w:t>
            </w:r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 xml:space="preserve"> Officer </w:t>
            </w:r>
            <w:proofErr w:type="spellStart"/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0737410D" w14:textId="77777777" w:rsidR="008D35F6" w:rsidRPr="000E3C60" w:rsidRDefault="008D35F6" w:rsidP="008D35F6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6DC74E6F" w14:textId="77777777" w:rsidR="008D35F6" w:rsidRPr="000E3C60" w:rsidRDefault="008D35F6" w:rsidP="008D35F6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218F9CE" w14:textId="77777777" w:rsidR="008D35F6" w:rsidRPr="000E3C60" w:rsidRDefault="008D35F6" w:rsidP="008D35F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3340284" w14:textId="77777777" w:rsidR="008D35F6" w:rsidRPr="000E3C60" w:rsidRDefault="008D35F6" w:rsidP="008D35F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D516202" w14:textId="77777777" w:rsidR="008D35F6" w:rsidRPr="000E3C60" w:rsidRDefault="008D35F6" w:rsidP="008D35F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629E1B0" w14:textId="77777777" w:rsidR="008D35F6" w:rsidRPr="000E3C60" w:rsidRDefault="008D35F6" w:rsidP="008D35F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FC3D32F" w14:textId="77777777" w:rsidR="008D35F6" w:rsidRPr="000E3C60" w:rsidRDefault="008D35F6" w:rsidP="008D35F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6899F64" w14:textId="77777777" w:rsidR="008D35F6" w:rsidRPr="000E3C60" w:rsidRDefault="008D35F6" w:rsidP="008D35F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8B4C00F" w14:textId="77777777" w:rsidR="008D35F6" w:rsidRPr="000E3C60" w:rsidRDefault="008D35F6" w:rsidP="008D35F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938B552" w14:textId="77777777" w:rsidR="008D35F6" w:rsidRPr="000E3C60" w:rsidRDefault="008D35F6" w:rsidP="008D35F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F90FBA2" w14:textId="77777777" w:rsidR="008D35F6" w:rsidRPr="000E3C60" w:rsidRDefault="008D35F6" w:rsidP="008D35F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0E3C60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hyperlink r:id="rId9" w:history="1">
        <w:r w:rsidRPr="000E3C60">
          <w:rPr>
            <w:rStyle w:val="Hyperlink"/>
            <w:rFonts w:ascii="Helvetica" w:hAnsi="Helvetica"/>
            <w:sz w:val="20"/>
            <w:szCs w:val="20"/>
          </w:rPr>
          <w:t>Corey Nachreiner</w:t>
        </w:r>
      </w:hyperlink>
      <w:r w:rsidRPr="000E3C60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25D6B638" w14:textId="77777777" w:rsidR="008C62CF" w:rsidRPr="00BF6DC2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BF6DC2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BF6DC2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BF6DC2">
              <w:rPr>
                <w:bCs/>
                <w:color w:val="000000" w:themeColor="text1"/>
                <w:sz w:val="16"/>
                <w:lang w:val="de-CH"/>
              </w:rPr>
              <w:t>Kontakt</w:t>
            </w:r>
            <w:r w:rsidR="006F3C2D" w:rsidRPr="00BF6DC2">
              <w:rPr>
                <w:bCs/>
                <w:color w:val="000000" w:themeColor="text1"/>
                <w:sz w:val="16"/>
                <w:lang w:val="de-CH"/>
              </w:rPr>
              <w:t>:</w:t>
            </w:r>
          </w:p>
          <w:p w14:paraId="2A1D785C" w14:textId="77777777" w:rsidR="006F3C2D" w:rsidRPr="00BF6D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proofErr w:type="spellStart"/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WatchGuard</w:t>
            </w:r>
            <w:proofErr w:type="spellEnd"/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Technologies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GmbH</w:t>
            </w:r>
          </w:p>
          <w:p w14:paraId="479F3A49" w14:textId="77777777" w:rsidR="006F3C2D" w:rsidRPr="00BF6DC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Moll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–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Field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Marketing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Manager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Central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Europe</w:t>
            </w:r>
          </w:p>
          <w:p w14:paraId="428BECB1" w14:textId="77777777" w:rsidR="006F3C2D" w:rsidRPr="00BF6D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Wendenstr.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379,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20537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Hamburg</w:t>
            </w:r>
          </w:p>
          <w:p w14:paraId="0D042AE7" w14:textId="77777777" w:rsidR="006F3C2D" w:rsidRPr="00BF6D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Tel.: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+49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152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31795040</w:t>
            </w:r>
          </w:p>
          <w:p w14:paraId="73EEA945" w14:textId="77777777" w:rsidR="006F3C2D" w:rsidRPr="00BF6DC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paul.moll</w:t>
            </w:r>
            <w:r w:rsidR="006F3C2D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@watchguard.com</w:t>
            </w:r>
          </w:p>
          <w:p w14:paraId="25E0B59A" w14:textId="0ED346A9" w:rsidR="006F3C2D" w:rsidRPr="00BF6DC2" w:rsidRDefault="008D35F6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de-CH"/>
              </w:rPr>
            </w:pPr>
            <w:r w:rsidRPr="00A16239">
              <w:rPr>
                <w:b w:val="0"/>
                <w:color w:val="000000" w:themeColor="text1"/>
                <w:spacing w:val="-2"/>
                <w:sz w:val="16"/>
                <w:szCs w:val="16"/>
              </w:rPr>
              <w:t>https://www.watchguard.com/de</w:t>
            </w:r>
          </w:p>
        </w:tc>
        <w:tc>
          <w:tcPr>
            <w:tcW w:w="4111" w:type="dxa"/>
          </w:tcPr>
          <w:p w14:paraId="38A3A066" w14:textId="77777777" w:rsidR="006F3C2D" w:rsidRPr="00BF6D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BF6DC2">
              <w:rPr>
                <w:bCs/>
                <w:color w:val="000000" w:themeColor="text1"/>
                <w:sz w:val="16"/>
                <w:lang w:val="de-CH"/>
              </w:rPr>
              <w:t>Presse-</w:t>
            </w:r>
            <w:r w:rsidR="00F91F98" w:rsidRPr="00BF6DC2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BF6DC2">
              <w:rPr>
                <w:bCs/>
                <w:color w:val="000000" w:themeColor="text1"/>
                <w:sz w:val="16"/>
                <w:lang w:val="de-CH"/>
              </w:rPr>
              <w:t>und</w:t>
            </w:r>
            <w:r w:rsidR="00F91F98" w:rsidRPr="00BF6DC2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BF6DC2">
              <w:rPr>
                <w:bCs/>
                <w:color w:val="000000" w:themeColor="text1"/>
                <w:sz w:val="16"/>
                <w:lang w:val="de-CH"/>
              </w:rPr>
              <w:t>Öffentlichkeitsarbeit:</w:t>
            </w:r>
          </w:p>
          <w:p w14:paraId="6AFC7D8C" w14:textId="77777777" w:rsidR="00BF6DC2" w:rsidRPr="00BF6DC2" w:rsidRDefault="00BF6DC2" w:rsidP="00BF6DC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proofErr w:type="spellStart"/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Press'n'Relations</w:t>
            </w:r>
            <w:proofErr w:type="spellEnd"/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GmbH, c/o </w:t>
            </w:r>
            <w:proofErr w:type="spellStart"/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Medianovis</w:t>
            </w:r>
            <w:proofErr w:type="spellEnd"/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AG</w:t>
            </w:r>
          </w:p>
          <w:p w14:paraId="736946B0" w14:textId="77777777" w:rsidR="00BF6DC2" w:rsidRPr="00BF6DC2" w:rsidRDefault="00BF6DC2" w:rsidP="00BF6DC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Rebecca Horn</w:t>
            </w:r>
          </w:p>
          <w:p w14:paraId="28C9BE42" w14:textId="77777777" w:rsidR="00BF6DC2" w:rsidRPr="00BF6DC2" w:rsidRDefault="00BF6DC2" w:rsidP="00BF6DC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proofErr w:type="spellStart"/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Schaffhauserstr</w:t>
            </w:r>
            <w:proofErr w:type="spellEnd"/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. 91, 8057 Zürich</w:t>
            </w:r>
          </w:p>
          <w:p w14:paraId="5E94A83E" w14:textId="77777777" w:rsidR="00BF6DC2" w:rsidRPr="00BF6DC2" w:rsidRDefault="00BF6DC2" w:rsidP="00BF6DC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Tel.: +49 731 962 87 15 </w:t>
            </w:r>
          </w:p>
          <w:p w14:paraId="08072A31" w14:textId="77777777" w:rsidR="00BF6DC2" w:rsidRPr="00BF6DC2" w:rsidRDefault="00BF6DC2" w:rsidP="00BF6DC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rh@press-n-relations.de</w:t>
            </w:r>
          </w:p>
          <w:p w14:paraId="5FFB9C6B" w14:textId="64ACFD01" w:rsidR="006F3C2D" w:rsidRPr="00BF6DC2" w:rsidRDefault="008D35F6" w:rsidP="00BF6DC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  <w:lang w:val="de-CH"/>
              </w:rPr>
            </w:pPr>
            <w:r w:rsidRPr="00A16239">
              <w:rPr>
                <w:b w:val="0"/>
                <w:color w:val="000000" w:themeColor="text1"/>
                <w:spacing w:val="-2"/>
                <w:sz w:val="16"/>
                <w:szCs w:val="16"/>
              </w:rPr>
              <w:t>https://press-n-relations.com</w:t>
            </w:r>
          </w:p>
        </w:tc>
      </w:tr>
    </w:tbl>
    <w:p w14:paraId="204C6C98" w14:textId="77777777" w:rsidR="00E41106" w:rsidRPr="00BF6DC2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693624E6" w14:textId="2BACD3F7" w:rsidR="00AC463A" w:rsidRPr="00BF6DC2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  <w:r w:rsidRPr="00BF6DC2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Über </w:t>
      </w:r>
      <w:proofErr w:type="spellStart"/>
      <w:r w:rsidRPr="00BF6DC2">
        <w:rPr>
          <w:rFonts w:ascii="Helvetica" w:hAnsi="Helvetica"/>
          <w:b/>
          <w:color w:val="000000" w:themeColor="text1"/>
          <w:sz w:val="16"/>
          <w:szCs w:val="16"/>
          <w:lang w:val="de-CH"/>
        </w:rPr>
        <w:t>WatchGuard</w:t>
      </w:r>
      <w:proofErr w:type="spellEnd"/>
      <w:r w:rsidRPr="00BF6DC2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 Technologies</w:t>
      </w:r>
    </w:p>
    <w:p w14:paraId="4003B245" w14:textId="3BFB4F00" w:rsidR="00DD1C5C" w:rsidRPr="00BF6DC2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Technologies gehört zu den führenden Anbietern im Bereich IT-Sicherheit. Das umfangreiche Produktportfolio reicht von hochentwickelten UTM (Unified </w:t>
      </w: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Threat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proofErr w:type="gram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Management)-</w:t>
      </w:r>
      <w:proofErr w:type="gram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und Next-Generation-Firewall-Plattformen über Multifaktor-Authen</w:t>
      </w:r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softHyphen/>
        <w:t xml:space="preserve">tifizierung bis hin zu Technologien für umfassenden WLAN-Schutz und </w:t>
      </w: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Endpoint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Protection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sowie weiteren spezifischen Produkten und intelligenten Services rund ums Thema IT-Security. Mehr als 250.000 Kunden weltweit vertrauen auf die ausgeklügelten Schutzmechanismen auf Enterprise-Niveau, wobei dank der einfachen Handhabung neben kleinen und mittelständischen Unternehmen nicht zuletzt auch gro</w:t>
      </w:r>
      <w:r w:rsid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ss</w:t>
      </w:r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e, dezentral aufgestellte Organisationen </w:t>
      </w:r>
      <w:r w:rsidR="00F050E9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und </w:t>
      </w:r>
      <w:proofErr w:type="spellStart"/>
      <w:r w:rsidR="00F050E9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Managed</w:t>
      </w:r>
      <w:proofErr w:type="spellEnd"/>
      <w:r w:rsidR="00F050E9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Services Provider </w:t>
      </w:r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vom Einsatz profitieren. Neben der Zentrale in Seattle im US-Bundesstaat Washington verfügt </w:t>
      </w: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über Niederlassungen in ganz Nordamerika, Lateinamerika und Europa sowie im asiatisch-pazifischen Raum.</w:t>
      </w:r>
    </w:p>
    <w:p w14:paraId="2EFF03CF" w14:textId="77777777" w:rsidR="00DD1C5C" w:rsidRPr="00BF6DC2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</w:p>
    <w:p w14:paraId="68DAE71B" w14:textId="77777777" w:rsidR="00DD1C5C" w:rsidRPr="00BF6DC2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Aktuelle Informationen, Aktionen und Updates finden Sie auch auf </w:t>
      </w:r>
      <w:hyperlink r:id="rId10" w:history="1">
        <w:r w:rsidRPr="00BF6DC2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Twitter</w:t>
        </w:r>
      </w:hyperlink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, </w:t>
      </w:r>
      <w:hyperlink r:id="rId11" w:history="1">
        <w:r w:rsidRPr="00BF6DC2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Facebook</w:t>
        </w:r>
      </w:hyperlink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 oder </w:t>
      </w:r>
      <w:hyperlink r:id="rId12" w:history="1">
        <w:r w:rsidRPr="00BF6DC2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LinkedIn</w:t>
        </w:r>
      </w:hyperlink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. Der </w:t>
      </w: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-Blog „</w:t>
      </w: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Secplicity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“ berichtet darüber hinaus über die neuesten Bedrohungen und zeigt auf, wie man mit ihnen umgeht: </w:t>
      </w:r>
      <w:hyperlink r:id="rId13" w:history="1">
        <w:r w:rsidRPr="00BF6DC2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www.secplicity.org</w:t>
        </w:r>
      </w:hyperlink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. Oder Sie abonnieren den „443 – Security </w:t>
      </w: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Simplified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“-Podcast bei </w:t>
      </w:r>
      <w:hyperlink r:id="rId14" w:history="1">
        <w:r w:rsidRPr="00BF6DC2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Secplicity.org</w:t>
        </w:r>
      </w:hyperlink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 bzw. wo immer Sie Ihre Lieblings-Podcasts finden. </w:t>
      </w:r>
    </w:p>
    <w:p w14:paraId="0A1F6EC8" w14:textId="77777777" w:rsidR="00D37950" w:rsidRPr="00BF6DC2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  <w:lang w:val="de-CH"/>
        </w:rPr>
      </w:pPr>
    </w:p>
    <w:sectPr w:rsidR="00D37950" w:rsidRPr="00BF6DC2" w:rsidSect="00302AD1">
      <w:headerReference w:type="default" r:id="rId15"/>
      <w:footerReference w:type="even" r:id="rId16"/>
      <w:footerReference w:type="default" r:id="rId17"/>
      <w:type w:val="continuous"/>
      <w:pgSz w:w="11900" w:h="16840"/>
      <w:pgMar w:top="1418" w:right="1410" w:bottom="115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17E5C" w14:textId="77777777" w:rsidR="00A95FC6" w:rsidRDefault="00A95FC6">
      <w:r>
        <w:separator/>
      </w:r>
    </w:p>
  </w:endnote>
  <w:endnote w:type="continuationSeparator" w:id="0">
    <w:p w14:paraId="51D935D5" w14:textId="77777777" w:rsidR="00A95FC6" w:rsidRDefault="00A95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7CF37" w14:textId="77777777" w:rsidR="00A95FC6" w:rsidRDefault="00A95FC6">
      <w:r>
        <w:separator/>
      </w:r>
    </w:p>
  </w:footnote>
  <w:footnote w:type="continuationSeparator" w:id="0">
    <w:p w14:paraId="3C9F22D7" w14:textId="77777777" w:rsidR="00A95FC6" w:rsidRDefault="00A95F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11644"/>
    <w:multiLevelType w:val="hybridMultilevel"/>
    <w:tmpl w:val="B7B40098"/>
    <w:lvl w:ilvl="0" w:tplc="3D881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465760"/>
    <w:multiLevelType w:val="hybridMultilevel"/>
    <w:tmpl w:val="99E8DE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07264"/>
    <w:rsid w:val="000122C3"/>
    <w:rsid w:val="000124AC"/>
    <w:rsid w:val="000128B8"/>
    <w:rsid w:val="0001332B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6C01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845"/>
    <w:rsid w:val="000939C7"/>
    <w:rsid w:val="00094360"/>
    <w:rsid w:val="000956D1"/>
    <w:rsid w:val="00095932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335C"/>
    <w:rsid w:val="001041E0"/>
    <w:rsid w:val="00105492"/>
    <w:rsid w:val="00105626"/>
    <w:rsid w:val="00105A4B"/>
    <w:rsid w:val="00105E7E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63C1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8B5"/>
    <w:rsid w:val="0020490A"/>
    <w:rsid w:val="00206650"/>
    <w:rsid w:val="00206B64"/>
    <w:rsid w:val="00207E2D"/>
    <w:rsid w:val="002102E2"/>
    <w:rsid w:val="002111C6"/>
    <w:rsid w:val="00211BAD"/>
    <w:rsid w:val="00212B3C"/>
    <w:rsid w:val="00212C32"/>
    <w:rsid w:val="00213930"/>
    <w:rsid w:val="00214724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7A5"/>
    <w:rsid w:val="00297B91"/>
    <w:rsid w:val="00297D32"/>
    <w:rsid w:val="002A0689"/>
    <w:rsid w:val="002A1F34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81F"/>
    <w:rsid w:val="002E29A3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DF1"/>
    <w:rsid w:val="00383FD9"/>
    <w:rsid w:val="0038435F"/>
    <w:rsid w:val="00384DD8"/>
    <w:rsid w:val="003852FF"/>
    <w:rsid w:val="00385B77"/>
    <w:rsid w:val="00386B60"/>
    <w:rsid w:val="0038716A"/>
    <w:rsid w:val="003871AB"/>
    <w:rsid w:val="00387D6E"/>
    <w:rsid w:val="00387D9C"/>
    <w:rsid w:val="00390D74"/>
    <w:rsid w:val="00391D7D"/>
    <w:rsid w:val="003926BE"/>
    <w:rsid w:val="00392BCD"/>
    <w:rsid w:val="0039307B"/>
    <w:rsid w:val="00393E48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2053"/>
    <w:rsid w:val="003A20A9"/>
    <w:rsid w:val="003A387F"/>
    <w:rsid w:val="003A3D5C"/>
    <w:rsid w:val="003A4295"/>
    <w:rsid w:val="003A458B"/>
    <w:rsid w:val="003A51FE"/>
    <w:rsid w:val="003A5A93"/>
    <w:rsid w:val="003A5BB9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66D1"/>
    <w:rsid w:val="004767F0"/>
    <w:rsid w:val="00477CC5"/>
    <w:rsid w:val="00477CFE"/>
    <w:rsid w:val="00477F3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4B9A"/>
    <w:rsid w:val="004F5BFB"/>
    <w:rsid w:val="004F5F79"/>
    <w:rsid w:val="004F6BD9"/>
    <w:rsid w:val="004F70F3"/>
    <w:rsid w:val="004F7186"/>
    <w:rsid w:val="004F72BB"/>
    <w:rsid w:val="005003B0"/>
    <w:rsid w:val="00501339"/>
    <w:rsid w:val="00502562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DE7"/>
    <w:rsid w:val="00564917"/>
    <w:rsid w:val="00564CAA"/>
    <w:rsid w:val="005664C7"/>
    <w:rsid w:val="005700F3"/>
    <w:rsid w:val="005704D3"/>
    <w:rsid w:val="00570638"/>
    <w:rsid w:val="00572061"/>
    <w:rsid w:val="00572137"/>
    <w:rsid w:val="00572BBD"/>
    <w:rsid w:val="00572C2C"/>
    <w:rsid w:val="00572E13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4F9A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00BC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C9D"/>
    <w:rsid w:val="006D03FD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2D8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51E"/>
    <w:rsid w:val="007D1F2D"/>
    <w:rsid w:val="007D292B"/>
    <w:rsid w:val="007D2CE1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4A14"/>
    <w:rsid w:val="007F56EE"/>
    <w:rsid w:val="007F585A"/>
    <w:rsid w:val="007F5EFE"/>
    <w:rsid w:val="007F5F3F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E81"/>
    <w:rsid w:val="0081080F"/>
    <w:rsid w:val="00811AB7"/>
    <w:rsid w:val="00814BC5"/>
    <w:rsid w:val="00814BD0"/>
    <w:rsid w:val="0081544B"/>
    <w:rsid w:val="00817BCA"/>
    <w:rsid w:val="00820FFE"/>
    <w:rsid w:val="00821306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936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1B49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6E53"/>
    <w:rsid w:val="0088791E"/>
    <w:rsid w:val="00887AD1"/>
    <w:rsid w:val="00887BB3"/>
    <w:rsid w:val="0089267E"/>
    <w:rsid w:val="00892765"/>
    <w:rsid w:val="00892CEC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405"/>
    <w:rsid w:val="008D3104"/>
    <w:rsid w:val="008D35F6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A45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A56"/>
    <w:rsid w:val="00996EC0"/>
    <w:rsid w:val="009A07A8"/>
    <w:rsid w:val="009A0BA8"/>
    <w:rsid w:val="009A1516"/>
    <w:rsid w:val="009A17A9"/>
    <w:rsid w:val="009A29CA"/>
    <w:rsid w:val="009A3180"/>
    <w:rsid w:val="009A391F"/>
    <w:rsid w:val="009A3EB4"/>
    <w:rsid w:val="009A5572"/>
    <w:rsid w:val="009A72B0"/>
    <w:rsid w:val="009A73E3"/>
    <w:rsid w:val="009A7882"/>
    <w:rsid w:val="009A7F0B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A89"/>
    <w:rsid w:val="00A27ED4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5047C"/>
    <w:rsid w:val="00A51C3E"/>
    <w:rsid w:val="00A52880"/>
    <w:rsid w:val="00A5299A"/>
    <w:rsid w:val="00A52E9B"/>
    <w:rsid w:val="00A52FBF"/>
    <w:rsid w:val="00A533ED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E8B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4B31"/>
    <w:rsid w:val="00A84EDE"/>
    <w:rsid w:val="00A854E4"/>
    <w:rsid w:val="00A858DA"/>
    <w:rsid w:val="00A85F4C"/>
    <w:rsid w:val="00A862A4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5FC6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BCD"/>
    <w:rsid w:val="00AB2DBD"/>
    <w:rsid w:val="00AB32E5"/>
    <w:rsid w:val="00AB3453"/>
    <w:rsid w:val="00AB40ED"/>
    <w:rsid w:val="00AB5D88"/>
    <w:rsid w:val="00AB5E4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526F"/>
    <w:rsid w:val="00B3580D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6E18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1D1"/>
    <w:rsid w:val="00BB6B4D"/>
    <w:rsid w:val="00BB7BF7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6B93"/>
    <w:rsid w:val="00BD7C33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BF6DC2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519"/>
    <w:rsid w:val="00C2473A"/>
    <w:rsid w:val="00C26427"/>
    <w:rsid w:val="00C30E2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038"/>
    <w:rsid w:val="00CD22D2"/>
    <w:rsid w:val="00CD27E4"/>
    <w:rsid w:val="00CD2B6A"/>
    <w:rsid w:val="00CD311E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128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9D7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857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529D"/>
    <w:rsid w:val="00D558A9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A9F"/>
    <w:rsid w:val="00D9120B"/>
    <w:rsid w:val="00D9154E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1C5C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937"/>
    <w:rsid w:val="00E24546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50C2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BB4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2E48"/>
    <w:rsid w:val="00EE30D6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0E9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AE9"/>
    <w:rsid w:val="00F1473F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1F03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0F1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secplicity.org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wgrd-resource-center/cyber-security-predictions" TargetMode="External"/><Relationship Id="rId12" Type="http://schemas.openxmlformats.org/officeDocument/2006/relationships/hyperlink" Target="https://de.linkedin.com/company/watchguardsichersein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-de.facebook.com/WatchGuardSichersein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twitter.com/sichersei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ress-n-relations.amid-pr.com/AMID-PR/searchresult/searchresult.xhtml?searchString=Corey+Nachreiner&amp;searchId=0&amp;searchType=detailed" TargetMode="External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833</Words>
  <Characters>5255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6076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4</cp:revision>
  <cp:lastPrinted>2021-06-22T12:10:00Z</cp:lastPrinted>
  <dcterms:created xsi:type="dcterms:W3CDTF">2021-12-10T08:51:00Z</dcterms:created>
  <dcterms:modified xsi:type="dcterms:W3CDTF">2021-12-10T08:53:00Z</dcterms:modified>
  <cp:category/>
</cp:coreProperties>
</file>